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a873f21593c430c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7b5e5b68637d400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22ea81deed543b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ddc9b49d29244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Hirvonen, Susanna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Kosonen, Katri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Druta, Laurenta Niculina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Iacobita, Verginia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Perna, Manuela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Sgarra, Debora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2 4 2 2 3 3 2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4 2 3 3 2 2 4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284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3 3 4 4 4 4 3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cbf9c16259544ed" /><Relationship Type="http://schemas.openxmlformats.org/officeDocument/2006/relationships/footer" Target="/word/footer1.xml" Id="R7b5e5b68637d400f" /><Relationship Type="http://schemas.openxmlformats.org/officeDocument/2006/relationships/image" Target="/media/image.jpg" Id="R022ea81deed543ba" /><Relationship Type="http://schemas.openxmlformats.org/officeDocument/2006/relationships/image" Target="/media/image2.jpg" Id="R5ddc9b49d2924490" /></Relationships>
</file>